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28" w:rsidRPr="0018075F" w:rsidRDefault="000D5528" w:rsidP="000D5528">
      <w:pPr>
        <w:ind w:left="-108" w:right="-108"/>
        <w:jc w:val="center"/>
        <w:rPr>
          <w:b/>
          <w:sz w:val="28"/>
          <w:szCs w:val="28"/>
        </w:rPr>
      </w:pPr>
      <w:r w:rsidRPr="0018075F">
        <w:rPr>
          <w:b/>
          <w:sz w:val="28"/>
          <w:szCs w:val="28"/>
        </w:rPr>
        <w:t>QUY TRÌNH</w:t>
      </w:r>
    </w:p>
    <w:p w:rsidR="00992857" w:rsidRPr="0018075F" w:rsidRDefault="000D5528" w:rsidP="000D5528">
      <w:pPr>
        <w:jc w:val="center"/>
        <w:rPr>
          <w:b/>
          <w:color w:val="000000"/>
          <w:sz w:val="28"/>
          <w:szCs w:val="28"/>
        </w:rPr>
      </w:pPr>
      <w:r w:rsidRPr="0018075F">
        <w:rPr>
          <w:b/>
          <w:color w:val="000000"/>
          <w:sz w:val="28"/>
          <w:szCs w:val="28"/>
        </w:rPr>
        <w:t>TÀU THUYỀN NƯỚC NGOÀI QUÁ CẢNH</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t>1. Trình tự thực hiện:</w:t>
      </w:r>
      <w:bookmarkStart w:id="0" w:name="_GoBack"/>
      <w:bookmarkEnd w:id="0"/>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a) Nộp hồ sơ TTHC:</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Trước khi tàu đến vị trí dự kiến đến khu neo đậu chờ quá cảnh người làm thủ tục gửi cho Cảng vụ hàng hải nơi tàu đến các thông tin dưới đây:</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Bản khai an ninh tàu biển theo mẫu: Đối với tàu biển chở hàng có tổng dung tích từ 500 trở lên, tàu chở khách và giàn khoan di động ngoài khơi hoạt động tuyến quốc tế, chậm nhất 24 giờ trước khi tàu dự kiến đến vị trí dự kiến đến cảng;</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Thông báo tàu biển quá cảnh (theo mẫu Bản khai chung): Chậm nhất 12 giờ kể từ khi tàu biển dự kiến đến khu neo đậu chờ quá cảnh.</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Xác báo tàu quá cảnh:</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Tàu biển đến vị trí dự kiến đến cảng sớm hoặc muộn hơn 02 giờ so với thời gian trong thông báo tàu đến cảng biển phải thực hiện xác báo cho Cảng vụ hàng hải biết chính xác thời gian tàu đến vị trí dự kiến theo mẫu;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Chậm nhất 02 giờ trước khi tàu biển quá cảnh, người làm thủ tục nộp, xuất trình hồ sơ để làm thủ tục cho tàu thuyền tại trụ sở chính hoặc Văn phòng đại diện Cảng vụ hàng hải.</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b) Giải quyết TTHC:</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Cảng vụ hàng hải có trách nhiệm thông báo cho các tổ chức liên quan biết thông tin về việc tàu thuyền quá cảnh để thực hiện thủ tục và phối hợp triển khai điều động, tiếp nhận tàu;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Cảng vụ hàng hải xử lý, giải quyết hồ sơ đối với tàu thuyền, giấy chứng nhận khả năng chuyên môn của thuyền viên và là cơ quan quyết định cuối cùng cho tàu thuyền quá cảnh cảng biển;</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Hải quan cửa khẩu xử lý, giải quyết hồ sơ đối với hàng hóa, hành lý, nguyên, nhiên vật liệu trên tàu;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Biên phòng cửa khẩu xử lý, giải quyết hồ sơ đối với thuyền viên, hành khách, người đi theo tàu, người trốn trên tàu và người lên, xuống tàu;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Kiểm dịch y tế xử lý, giải quyết hồ sơ đối với bệnh dịch liên quan đến con người.</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lastRenderedPageBreak/>
        <w:t>- Trên cơ sở thông báo, xác báo tàu đến cảng, chậm nhất 02 giờ trước khi tàu đến khu neo đậu chờ quá cảnh, Giám đốc Cảng vụ hàng hải căn cứ điều kiện thực tế, thông số kỹ thuật của tàu, loại hàng, kế hoạch điều độ của cảng, kế hoạch dẫn tàu của tổ chức hoa tiêu và ý kiến của các cơ quan quản lý nhà nước để xem xét quyết định chấp thuận cho tàu quá cảnh thông qua Kế hoạch điều động theo mẫu; trường hợp không chấp thuận cho tàu quá cảnh phải thông báo cho người làm thủ tục và nêu rõ lý do.</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hàng hải cấp Giấy phép quá cảnh; trường hợp tàu biển chưa cấp Giấy phép quá cảnh phải thông báo và nêu rõ lý do.</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t>2.  Cách thức thực hiện:</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Qua Fax, khai báo điện tử, nộp trực tiếp hoặc thông qua hệ thống bưu chính.</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t>3. Thành phần, số lượng hồ sơ:</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a) Thành phần hồ sơ:</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Các giấy tờ phải nộp (bản chính), mỗi loại 01 bản, gồm:</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Nộp cho Cảng vụ hàng hải: Bản khai chung theo mẫu, Danh sách thuyền viên theo mẫu, Danh sách hành khách (nếu có) theo mẫu;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Nộp cho Biên phòng cửa khẩu: Bản khai chung theo mẫu, Danh sách thuyền viên theo mẫu, Danh sách hành khách (nếu có) theo mẫu, Bản khai vũ khí và vật liệu nổ (nếu có) theo mẫu, Bản khai người trốn trên tàu (nếu có) theo mẫu;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Nộp cho Hải quan cửa khẩu: Bản khai chung theo mẫu, Danh sách thuyền viên theo mẫu, Bản khai hàng hóa (nếu có) theo mẫu, Bản khai dự trữ của tàu theo mẫu, Bản khai thông tin về vận đơn thứ cấp (nếu có) theo mẫu;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Nộp cho Kiểm dịch y tế: Giấy khai báo y tế hàng hải theo mẫu, Giấy khai báo y tế, thi thể, hài cốt, tro cốt (nếu có) theo mẫu, Giấy khai báo y tế mẫu vi sinh y học, sản phẩm sinh học, mô, bộ phận cơ thể người (nếu có) theo mẫu.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Các giấy tờ phải xuất trình (bản chính), bao gồm:</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xml:space="preserve">+ Trình Cảng vụ hàng hải: Giấy phép rời cảng, Giấy chứng nhận đăng ký tàu biển, các giấy chứng nhận về an toàn kỹ thuật của tàu biển theo quy định, Giấy chứng nhận </w:t>
      </w:r>
      <w:r w:rsidRPr="0018075F">
        <w:rPr>
          <w:color w:val="333333"/>
          <w:sz w:val="28"/>
          <w:szCs w:val="28"/>
        </w:rPr>
        <w:lastRenderedPageBreak/>
        <w:t>khả năng chuyên môn của thuyền viên theo quy định, Giấy chứng nhận bảo hiểm hoặc bảo đảm tài chính về trách nhiệm dân sự đối với tổn thất ô nhiễm dầu nhiên liệu, Giấy chứng nhận bảo hiểm trách nhiệm dân sự của chủ tàu về ô nhiễm môi trường đối với tàu vận chuyển dầu mỏ, chế phẩm từ dầu mỏ hoặc các hàng hóa nguy hiểm khác;</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Trình Biên phòng cửa khẩu: Hộ chiếu hoặc giấy tờ có giá trị đi lại quốc tế của thuyền viên, hành khách;</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Khi cơ quan quản lý nhà nước chuyên ngành liên quan yêu cầu trình Hộ chiếu của hành khách (nếu có).</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b) Số lượng hồ sơ: 01 bộ.      </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t>4. Thời hạn giải quyết:</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Chậm nhất 02 giờ, trước khi tàu biển đến khu neo đậu chờ quá cảnh, Giám đốc Cảng vụ hàng hải căn cứ điều kiện thực tế, thông số kỹ thuật của tàu, loại hàng, kế hoạch điều độ của cảng, kế hoạch dẫn tàu của tổ chức hoa tiêu và ý kiến của các cơ quan quản lý nhà nước để xem xét quyết định chấp thuận cho tàu quá cảnh thông qua Kế hoạch điều động.</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hàng hải cấp Giấy phép quá cảnh; trường hợp chưa cấp Giấy phép quá cảnh phải thông báo và nêu rõ lý do.</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t>5. Đối tượng thực hiện TTHC:</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Người làm thủ tục là: chủ tàu hoặc người quản lý tàu, người thuê tàu, người khai thác tàu, thuyền trưởng hoặc người được ủy quyền thực hiện việc khai báo và làm thủ tục theo quy định tại Nghị định này với các cơ quan quản lý nhà nước tại cảng biển.</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t>6. Cơ quan thực hiện TTHC:</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a) Cơ quan có thẩm quyền quyết định: Cảng vụ hàng hải hoặc Đại diện Cảng vụ hàng hải; </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b) Cơ quan hoặc người có thẩm quyền được ủy quyền hoặc phân cấp thực hiện: Không có;</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c) Cơ quan trực tiếp thực hiện thủ tục hành chính:</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Cảng vụ hàng hải hoặc Đại diện Cảng vụ hàng hải;</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Biên phòng cửa khẩu;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Hải quan cửa khẩu;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Kiểm dịch y tế;</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d) Cơ quan phối hợp: Biên phòng cửa khẩu, Hải quan cửa khẩu, Kiểm dịch y tế.</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lastRenderedPageBreak/>
        <w:t>7. Kết quả của việc thực hiện TTHC:</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Giấy phép quá cảnh.</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t>8. Phí, lệ phí</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Các loại phí:</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Phí trọng tải tàu, thuyền: theo biểu phí quy định tại Điều 7 Thông tư số 261/2016/TT-BTC ngày 14/11/2016 của Bộ trưởng Bộ Tài chính;</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Phí bảo đảm hàng hải: theo biểu phí quy định tại Điều 8 Thông tư số 261/2016/TT-BTC</w:t>
      </w:r>
      <w:r w:rsidRPr="00374AE3">
        <w:rPr>
          <w:color w:val="333333"/>
          <w:sz w:val="28"/>
          <w:szCs w:val="28"/>
        </w:rPr>
        <w:t xml:space="preserve"> ngày 14/11/2016 của Bộ trưởng </w:t>
      </w:r>
      <w:r w:rsidRPr="0018075F">
        <w:rPr>
          <w:color w:val="333333"/>
          <w:sz w:val="28"/>
          <w:szCs w:val="28"/>
        </w:rPr>
        <w:t>Bộ Tài chính;</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Phí sử dụng vị trí neo, đậu tại khu nước, vùng nước: theo biểu phí quy định tại Điều 9 Thông tư số 261/2016/TT-BTC</w:t>
      </w:r>
      <w:r w:rsidRPr="00374AE3">
        <w:rPr>
          <w:color w:val="333333"/>
          <w:sz w:val="28"/>
          <w:szCs w:val="28"/>
        </w:rPr>
        <w:t xml:space="preserve"> ngày 14/11/2016 của Bộ trưởng </w:t>
      </w:r>
      <w:r w:rsidRPr="0018075F">
        <w:rPr>
          <w:color w:val="333333"/>
          <w:sz w:val="28"/>
          <w:szCs w:val="28"/>
        </w:rPr>
        <w:t>Bộ Tài chính.</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xml:space="preserve">- Lệ phí rời cảng biển: theo quy định tại Điều 10 Thông tư số 261/2016/TT-BTC ngày 14/11/2016 </w:t>
      </w:r>
      <w:r w:rsidR="00374AE3">
        <w:rPr>
          <w:color w:val="333333"/>
          <w:sz w:val="28"/>
          <w:szCs w:val="28"/>
        </w:rPr>
        <w:t>của Bộ trưởng </w:t>
      </w:r>
      <w:r w:rsidRPr="0018075F">
        <w:rPr>
          <w:color w:val="333333"/>
          <w:sz w:val="28"/>
          <w:szCs w:val="28"/>
        </w:rPr>
        <w:t>Bộ Tài chính.</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t>9. Tên mẫu đơn, mẫu tờ khai hành chính: </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Bản khai an ninh tàu biển;</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Bản khai chung;</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Xác báo tàu quá cảnh;</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Danh sách thuyền viên;</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Danh sách hành khách;</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Bản khai vũ khí vật liệu nổ;</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Bản khai người trốn trên tàu;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Bản khai hàng hóa;</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Bản khai thông tin về vận đơn thứ cấp;</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Bản khai dự trữ của tàu;</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Giấy khai báo y tế hàng hải;</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Giấy khai báo y tế, thi thể, hài cốt, tro cốt;</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Giấy khai báo y tế mẫu vi sinh y học, sản phẩm sinh học, mô, bộ phận cơ thể người.</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t>10. Yêu cầu, điều kiện thực hiện TTHC:</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Tất cả các loại tàu thuyền chỉ được phép quá cảnh khi có đủ điều kiện an toàn hàng hải, an ninh hàng hải, phòng ngừa ô nhiễm môi trường và các điều kiện khác theo quy định của pháp luật.</w:t>
      </w:r>
    </w:p>
    <w:p w:rsidR="0018075F" w:rsidRPr="0018075F" w:rsidRDefault="0018075F" w:rsidP="00374AE3">
      <w:pPr>
        <w:shd w:val="clear" w:color="auto" w:fill="FFFFFF"/>
        <w:spacing w:before="120" w:after="120"/>
        <w:ind w:firstLine="567"/>
        <w:jc w:val="both"/>
        <w:rPr>
          <w:b/>
          <w:color w:val="333333"/>
          <w:sz w:val="28"/>
          <w:szCs w:val="28"/>
        </w:rPr>
      </w:pPr>
      <w:r w:rsidRPr="0018075F">
        <w:rPr>
          <w:b/>
          <w:color w:val="333333"/>
          <w:sz w:val="28"/>
          <w:szCs w:val="28"/>
        </w:rPr>
        <w:lastRenderedPageBreak/>
        <w:t>11.  Căn cứ pháp lý của TTHC:</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Bộ luật Hàng hải Việt Nam ngày 25/11/2015.</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Nghị định số 58/2017/NĐ-CP ngày 10/5/2017 của Chính phủ quy định chi tiết một số điều của Bộ luật Hàng hải Việt Nam về quản lý hoạt động hàng hải.</w:t>
      </w:r>
    </w:p>
    <w:p w:rsidR="0018075F" w:rsidRPr="0018075F" w:rsidRDefault="0018075F" w:rsidP="00374AE3">
      <w:pPr>
        <w:shd w:val="clear" w:color="auto" w:fill="FFFFFF"/>
        <w:spacing w:before="120" w:after="120"/>
        <w:ind w:firstLine="567"/>
        <w:jc w:val="both"/>
        <w:rPr>
          <w:color w:val="333333"/>
          <w:sz w:val="28"/>
          <w:szCs w:val="28"/>
        </w:rPr>
      </w:pPr>
      <w:r w:rsidRPr="0018075F">
        <w:rPr>
          <w:color w:val="333333"/>
          <w:sz w:val="28"/>
          <w:szCs w:val="28"/>
        </w:rPr>
        <w:t>- Thông tư số 261/2016/TT-BTC ngày 05/01/2016 của Bộ trưởng Bộ Tài chính quy định về phí, lệ phí hàng hải và biểu mức thu phí, lệ phí hàng hải.</w:t>
      </w:r>
    </w:p>
    <w:p w:rsidR="0018075F" w:rsidRPr="00374AE3" w:rsidRDefault="0018075F" w:rsidP="00374AE3">
      <w:pPr>
        <w:spacing w:before="120" w:after="120"/>
        <w:ind w:firstLine="567"/>
        <w:jc w:val="center"/>
        <w:rPr>
          <w:sz w:val="28"/>
          <w:szCs w:val="28"/>
        </w:rPr>
      </w:pPr>
    </w:p>
    <w:sectPr w:rsidR="0018075F" w:rsidRPr="00374AE3" w:rsidSect="00374AE3">
      <w:pgSz w:w="12240" w:h="15840"/>
      <w:pgMar w:top="1276" w:right="1041"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9C"/>
    <w:rsid w:val="000D5528"/>
    <w:rsid w:val="0018075F"/>
    <w:rsid w:val="00374AE3"/>
    <w:rsid w:val="00992857"/>
    <w:rsid w:val="00AF219C"/>
    <w:rsid w:val="00C3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AA06"/>
  <w15:chartTrackingRefBased/>
  <w15:docId w15:val="{DECAA0CD-BFAA-4A11-9E4C-DB290AB3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9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807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7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07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530358">
      <w:bodyDiv w:val="1"/>
      <w:marLeft w:val="0"/>
      <w:marRight w:val="0"/>
      <w:marTop w:val="0"/>
      <w:marBottom w:val="0"/>
      <w:divBdr>
        <w:top w:val="none" w:sz="0" w:space="0" w:color="auto"/>
        <w:left w:val="none" w:sz="0" w:space="0" w:color="auto"/>
        <w:bottom w:val="none" w:sz="0" w:space="0" w:color="auto"/>
        <w:right w:val="none" w:sz="0" w:space="0" w:color="auto"/>
      </w:divBdr>
      <w:divsChild>
        <w:div w:id="280848406">
          <w:marLeft w:val="0"/>
          <w:marRight w:val="0"/>
          <w:marTop w:val="0"/>
          <w:marBottom w:val="0"/>
          <w:divBdr>
            <w:top w:val="none" w:sz="0" w:space="0" w:color="auto"/>
            <w:left w:val="none" w:sz="0" w:space="0" w:color="auto"/>
            <w:bottom w:val="none" w:sz="0" w:space="0" w:color="auto"/>
            <w:right w:val="none" w:sz="0" w:space="0" w:color="auto"/>
          </w:divBdr>
          <w:divsChild>
            <w:div w:id="833300970">
              <w:marLeft w:val="0"/>
              <w:marRight w:val="0"/>
              <w:marTop w:val="0"/>
              <w:marBottom w:val="0"/>
              <w:divBdr>
                <w:top w:val="none" w:sz="0" w:space="0" w:color="auto"/>
                <w:left w:val="none" w:sz="0" w:space="0" w:color="auto"/>
                <w:bottom w:val="none" w:sz="0" w:space="0" w:color="auto"/>
                <w:right w:val="none" w:sz="0" w:space="0" w:color="auto"/>
              </w:divBdr>
              <w:divsChild>
                <w:div w:id="2036348699">
                  <w:marLeft w:val="0"/>
                  <w:marRight w:val="0"/>
                  <w:marTop w:val="0"/>
                  <w:marBottom w:val="0"/>
                  <w:divBdr>
                    <w:top w:val="none" w:sz="0" w:space="0" w:color="auto"/>
                    <w:left w:val="none" w:sz="0" w:space="0" w:color="auto"/>
                    <w:bottom w:val="none" w:sz="0" w:space="0" w:color="auto"/>
                    <w:right w:val="none" w:sz="0" w:space="0" w:color="auto"/>
                  </w:divBdr>
                  <w:divsChild>
                    <w:div w:id="1588225875">
                      <w:marLeft w:val="0"/>
                      <w:marRight w:val="0"/>
                      <w:marTop w:val="0"/>
                      <w:marBottom w:val="0"/>
                      <w:divBdr>
                        <w:top w:val="none" w:sz="0" w:space="0" w:color="auto"/>
                        <w:left w:val="none" w:sz="0" w:space="0" w:color="auto"/>
                        <w:bottom w:val="none" w:sz="0" w:space="0" w:color="auto"/>
                        <w:right w:val="none" w:sz="0" w:space="0" w:color="auto"/>
                      </w:divBdr>
                      <w:divsChild>
                        <w:div w:id="1450584603">
                          <w:marLeft w:val="0"/>
                          <w:marRight w:val="0"/>
                          <w:marTop w:val="0"/>
                          <w:marBottom w:val="0"/>
                          <w:divBdr>
                            <w:top w:val="none" w:sz="0" w:space="0" w:color="auto"/>
                            <w:left w:val="none" w:sz="0" w:space="0" w:color="auto"/>
                            <w:bottom w:val="none" w:sz="0" w:space="0" w:color="auto"/>
                            <w:right w:val="none" w:sz="0" w:space="0" w:color="auto"/>
                          </w:divBdr>
                          <w:divsChild>
                            <w:div w:id="1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1</cp:revision>
  <dcterms:created xsi:type="dcterms:W3CDTF">2021-03-03T02:58:00Z</dcterms:created>
  <dcterms:modified xsi:type="dcterms:W3CDTF">2021-03-03T03:25:00Z</dcterms:modified>
</cp:coreProperties>
</file>